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9CB80" w14:textId="51A17284" w:rsidR="00510CCB" w:rsidRPr="006D3DA9" w:rsidRDefault="006D3DA9" w:rsidP="006D3DA9">
      <w:pPr>
        <w:jc w:val="both"/>
        <w:rPr>
          <w:b/>
          <w:bCs/>
          <w:color w:val="00B050"/>
          <w:sz w:val="34"/>
          <w:szCs w:val="34"/>
        </w:rPr>
      </w:pPr>
      <w:bookmarkStart w:id="0" w:name="_Hlk194222531"/>
      <w:r w:rsidRPr="006D3DA9">
        <w:rPr>
          <w:b/>
          <w:bCs/>
          <w:color w:val="C00000"/>
          <w:sz w:val="34"/>
          <w:szCs w:val="34"/>
        </w:rPr>
        <w:t>What's new in pediatrics</w:t>
      </w:r>
      <w:r w:rsidRPr="006D3DA9">
        <w:rPr>
          <w:b/>
          <w:bCs/>
          <w:color w:val="C00000"/>
          <w:sz w:val="34"/>
          <w:szCs w:val="34"/>
        </w:rPr>
        <w:t xml:space="preserve">       </w:t>
      </w:r>
      <w:r w:rsidRPr="00ED55D9">
        <w:rPr>
          <w:b/>
          <w:bCs/>
          <w:color w:val="00B050"/>
          <w:sz w:val="34"/>
          <w:szCs w:val="34"/>
        </w:rPr>
        <w:t>March 2025</w:t>
      </w:r>
      <w:bookmarkEnd w:id="0"/>
    </w:p>
    <w:p w14:paraId="2E8D3C6E" w14:textId="77777777" w:rsidR="00EE1A1B" w:rsidRPr="00EE1A1B" w:rsidRDefault="00EE1A1B" w:rsidP="006D3DA9">
      <w:pPr>
        <w:jc w:val="both"/>
      </w:pPr>
      <w:r w:rsidRPr="00EE1A1B">
        <w:rPr>
          <w:b/>
          <w:bCs/>
        </w:rPr>
        <w:t>GENERAL PEDIATRICS AND ADOLESCENT MEDICINE</w:t>
      </w:r>
    </w:p>
    <w:p w14:paraId="7B540600" w14:textId="77777777" w:rsidR="00EE1A1B" w:rsidRPr="00EE1A1B" w:rsidRDefault="00EE1A1B" w:rsidP="006D3DA9">
      <w:pPr>
        <w:jc w:val="both"/>
      </w:pPr>
      <w:r w:rsidRPr="00EE1A1B">
        <w:rPr>
          <w:b/>
          <w:bCs/>
        </w:rPr>
        <w:t>Consensus guideline on melatonin for sleep in typically developing children (March 2025)</w:t>
      </w:r>
    </w:p>
    <w:p w14:paraId="6177171F" w14:textId="77777777" w:rsidR="00EE1A1B" w:rsidRPr="00EE1A1B" w:rsidRDefault="00EE1A1B" w:rsidP="006D3DA9">
      <w:pPr>
        <w:jc w:val="both"/>
      </w:pPr>
      <w:r w:rsidRPr="00EE1A1B">
        <w:t>An international group of pediatric sleep experts has published a new consensus guideline on the use of melatonin for sleep in typically developing children [</w:t>
      </w:r>
      <w:hyperlink r:id="rId5" w:history="1">
        <w:r w:rsidRPr="00EE1A1B">
          <w:rPr>
            <w:rStyle w:val="Hyperlink"/>
          </w:rPr>
          <w:t>3</w:t>
        </w:r>
      </w:hyperlink>
      <w:r w:rsidRPr="00EE1A1B">
        <w:t>]. The panel recommends performing a thorough clinical evaluation to rule out other causes of chronic insomnia before considering melatonin, using behavioral approaches before and along with melatonin, limiting duration to as short of a time period as possible and no longer than three to six months in most cases, and storing melatonin safely in locked containers out of the reach of children. The guideline provides typical dose ranges of melatonin by age, up to a maximum of 5 mg nightly in adolescents. Our approach is consistent with these guidelines. (See </w:t>
      </w:r>
      <w:hyperlink r:id="rId6" w:anchor="H727571870" w:history="1">
        <w:r w:rsidRPr="00EE1A1B">
          <w:rPr>
            <w:rStyle w:val="Hyperlink"/>
          </w:rPr>
          <w:t>"Pharmacotherapy for insomnia in children and adolescents: A rational approach", section on 'Melatonin'</w:t>
        </w:r>
      </w:hyperlink>
      <w:r w:rsidRPr="00EE1A1B">
        <w:t>.)</w:t>
      </w:r>
    </w:p>
    <w:p w14:paraId="7B1939D0" w14:textId="77777777" w:rsidR="00EE1A1B" w:rsidRPr="00EE1A1B" w:rsidRDefault="00EE1A1B" w:rsidP="006D3DA9">
      <w:pPr>
        <w:jc w:val="both"/>
      </w:pPr>
      <w:r w:rsidRPr="00EE1A1B">
        <w:rPr>
          <w:b/>
          <w:bCs/>
        </w:rPr>
        <w:t>EMERGENCY MEDICINE</w:t>
      </w:r>
    </w:p>
    <w:p w14:paraId="11CBE69D" w14:textId="77777777" w:rsidR="00EE1A1B" w:rsidRPr="00EE1A1B" w:rsidRDefault="00EE1A1B" w:rsidP="006D3DA9">
      <w:pPr>
        <w:jc w:val="both"/>
      </w:pPr>
      <w:r w:rsidRPr="00EE1A1B">
        <w:rPr>
          <w:b/>
          <w:bCs/>
        </w:rPr>
        <w:t>Fractures and child abuse in young children (March 2025)</w:t>
      </w:r>
    </w:p>
    <w:p w14:paraId="565AC6DD" w14:textId="77777777" w:rsidR="00EE1A1B" w:rsidRPr="00EE1A1B" w:rsidRDefault="00EE1A1B" w:rsidP="006D3DA9">
      <w:pPr>
        <w:jc w:val="both"/>
      </w:pPr>
      <w:r w:rsidRPr="00EE1A1B">
        <w:t>The American Academy of Pediatrics has published a clinical report that provides guidance for the evaluation of fractures in young children [</w:t>
      </w:r>
      <w:hyperlink r:id="rId7" w:history="1">
        <w:r w:rsidRPr="00EE1A1B">
          <w:rPr>
            <w:rStyle w:val="Hyperlink"/>
          </w:rPr>
          <w:t>22</w:t>
        </w:r>
      </w:hyperlink>
      <w:r w:rsidRPr="00EE1A1B">
        <w:t>]. This report reaffirms the importance of a careful history and physical examination with special attention to the reported mechanism of injury, the developmental capability of the child, associated injuries on examination, and the specific type of fracture. A skeletal survey (</w:t>
      </w:r>
      <w:hyperlink r:id="rId8" w:history="1">
        <w:r w:rsidRPr="00EE1A1B">
          <w:rPr>
            <w:rStyle w:val="Hyperlink"/>
          </w:rPr>
          <w:t>table 3</w:t>
        </w:r>
      </w:hyperlink>
      <w:r w:rsidRPr="00EE1A1B">
        <w:t>), under the guidance of a pediatric radiologist or a multidisciplinary child abuse team led by a child abuse specialist, is indicated for children &lt;24 months old who have a fracture that is concerning for abuse (</w:t>
      </w:r>
      <w:hyperlink r:id="rId9" w:history="1">
        <w:r w:rsidRPr="00EE1A1B">
          <w:rPr>
            <w:rStyle w:val="Hyperlink"/>
          </w:rPr>
          <w:t>table 4</w:t>
        </w:r>
      </w:hyperlink>
      <w:r w:rsidRPr="00EE1A1B">
        <w:t>). (See </w:t>
      </w:r>
      <w:hyperlink r:id="rId10" w:anchor="H14" w:history="1">
        <w:r w:rsidRPr="00EE1A1B">
          <w:rPr>
            <w:rStyle w:val="Hyperlink"/>
          </w:rPr>
          <w:t>"Orthopedic aspects of child abuse", section on 'Overview'</w:t>
        </w:r>
      </w:hyperlink>
      <w:r w:rsidRPr="00EE1A1B">
        <w:t> and </w:t>
      </w:r>
      <w:hyperlink r:id="rId11" w:anchor="H706482265" w:history="1">
        <w:r w:rsidRPr="00EE1A1B">
          <w:rPr>
            <w:rStyle w:val="Hyperlink"/>
          </w:rPr>
          <w:t>"Physical child abuse: Recognition", section on 'Fractures'</w:t>
        </w:r>
      </w:hyperlink>
      <w:r w:rsidRPr="00EE1A1B">
        <w:t>.)</w:t>
      </w:r>
    </w:p>
    <w:p w14:paraId="005E7B12" w14:textId="77777777" w:rsidR="00EE1A1B" w:rsidRPr="00EE1A1B" w:rsidRDefault="00EE1A1B" w:rsidP="006D3DA9">
      <w:pPr>
        <w:jc w:val="both"/>
      </w:pPr>
      <w:r w:rsidRPr="00EE1A1B">
        <w:rPr>
          <w:b/>
          <w:bCs/>
        </w:rPr>
        <w:t>ENDOCRINOLOGY</w:t>
      </w:r>
    </w:p>
    <w:p w14:paraId="43A422CD" w14:textId="77777777" w:rsidR="00EE1A1B" w:rsidRPr="00EE1A1B" w:rsidRDefault="00EE1A1B" w:rsidP="006D3DA9">
      <w:pPr>
        <w:jc w:val="both"/>
      </w:pPr>
      <w:r w:rsidRPr="00EE1A1B">
        <w:rPr>
          <w:b/>
          <w:bCs/>
        </w:rPr>
        <w:t>Global rates of overweight and obesity (March 2025)</w:t>
      </w:r>
    </w:p>
    <w:p w14:paraId="0AD7F456" w14:textId="77777777" w:rsidR="00EE1A1B" w:rsidRPr="00EE1A1B" w:rsidRDefault="00EE1A1B" w:rsidP="006D3DA9">
      <w:pPr>
        <w:jc w:val="both"/>
      </w:pPr>
      <w:r w:rsidRPr="00EE1A1B">
        <w:t>Despite numerous associated health risks, rates of overweight and obesity continue to increase worldwide. In a new global analysis, the number of adults with overweight or obesity is expected to increase from 2.1 billion in 2021 to 3.8 billion in 2050, which represents nearly 60 percent of the predicted adult population [</w:t>
      </w:r>
      <w:hyperlink r:id="rId12" w:history="1">
        <w:r w:rsidRPr="00EE1A1B">
          <w:rPr>
            <w:rStyle w:val="Hyperlink"/>
          </w:rPr>
          <w:t>25</w:t>
        </w:r>
      </w:hyperlink>
      <w:r w:rsidRPr="00EE1A1B">
        <w:t>]. Among children and young adults, the projected global prevalence of obesity by 2050 is 15.6 percent for those ages 5 to 14 years, and 14.2 percent for those 15 to 24 years [</w:t>
      </w:r>
      <w:hyperlink r:id="rId13" w:history="1">
        <w:r w:rsidRPr="00EE1A1B">
          <w:rPr>
            <w:rStyle w:val="Hyperlink"/>
          </w:rPr>
          <w:t>26</w:t>
        </w:r>
      </w:hyperlink>
      <w:r w:rsidRPr="00EE1A1B">
        <w:t>]. We continue to promote screening and prevention for all patients, routine growth monitoring and counseling on healthy behaviors and lifestyle for all children, comprehensive lifestyle intervention for children and adults with overweight and obesity, and intensive lifestyle, pharmacologic, or surgical management for those at the highest risk of obesity-related morbidity and mortality. (See </w:t>
      </w:r>
      <w:hyperlink r:id="rId14" w:anchor="H1622530" w:history="1">
        <w:r w:rsidRPr="00EE1A1B">
          <w:rPr>
            <w:rStyle w:val="Hyperlink"/>
          </w:rPr>
          <w:t>"Obesity in adults: Prevalence, screening, and evaluation", section on 'Global'</w:t>
        </w:r>
      </w:hyperlink>
      <w:r w:rsidRPr="00EE1A1B">
        <w:t>.)</w:t>
      </w:r>
    </w:p>
    <w:p w14:paraId="5290D880" w14:textId="77777777" w:rsidR="00EE1A1B" w:rsidRPr="00EE1A1B" w:rsidRDefault="00EE1A1B" w:rsidP="006D3DA9">
      <w:pPr>
        <w:jc w:val="both"/>
      </w:pPr>
      <w:r w:rsidRPr="00EE1A1B">
        <w:rPr>
          <w:b/>
          <w:bCs/>
        </w:rPr>
        <w:lastRenderedPageBreak/>
        <w:t>INFECTIOUS DISEASES AND IMMUNIZATIONS</w:t>
      </w:r>
    </w:p>
    <w:p w14:paraId="19CE97CB" w14:textId="77777777" w:rsidR="00EE1A1B" w:rsidRPr="00EE1A1B" w:rsidRDefault="00EE1A1B" w:rsidP="006D3DA9">
      <w:pPr>
        <w:jc w:val="both"/>
      </w:pPr>
      <w:r w:rsidRPr="00EE1A1B">
        <w:rPr>
          <w:b/>
          <w:bCs/>
        </w:rPr>
        <w:t>Universal screening for congenital cytomegalovirus infection (March 2025)</w:t>
      </w:r>
    </w:p>
    <w:p w14:paraId="25A212CD" w14:textId="77777777" w:rsidR="00EE1A1B" w:rsidRPr="00EE1A1B" w:rsidRDefault="00EE1A1B" w:rsidP="006D3DA9">
      <w:pPr>
        <w:jc w:val="both"/>
      </w:pPr>
      <w:r w:rsidRPr="00EE1A1B">
        <w:t>Newborn screening for congenital cytomegalovirus (</w:t>
      </w:r>
      <w:proofErr w:type="spellStart"/>
      <w:r w:rsidRPr="00EE1A1B">
        <w:t>cCMV</w:t>
      </w:r>
      <w:proofErr w:type="spellEnd"/>
      <w:r w:rsidRPr="00EE1A1B">
        <w:t xml:space="preserve">) has been proposed by public health experts, but the most reliable and cost-effective method is uncertain. Two recent studies reported on the experience of performing universal </w:t>
      </w:r>
      <w:proofErr w:type="spellStart"/>
      <w:r w:rsidRPr="00EE1A1B">
        <w:t>cCMV</w:t>
      </w:r>
      <w:proofErr w:type="spellEnd"/>
      <w:r w:rsidRPr="00EE1A1B">
        <w:t xml:space="preserve"> screening with dried blood spots [</w:t>
      </w:r>
      <w:hyperlink r:id="rId15" w:history="1">
        <w:r w:rsidRPr="00EE1A1B">
          <w:rPr>
            <w:rStyle w:val="Hyperlink"/>
          </w:rPr>
          <w:t>29,30</w:t>
        </w:r>
      </w:hyperlink>
      <w:r w:rsidRPr="00EE1A1B">
        <w:t xml:space="preserve">]. Combined, these studies screened &gt;600,000 newborns, and 863 (0.14 percent) screened positive. The false-positive rate was 4 percent. Among confirmed cases, &gt;80 percent were asymptomatic whereas 12 to 16 percent had either isolated hearing loss or findings consistent with symptomatic </w:t>
      </w:r>
      <w:proofErr w:type="spellStart"/>
      <w:r w:rsidRPr="00EE1A1B">
        <w:t>cCMV</w:t>
      </w:r>
      <w:proofErr w:type="spellEnd"/>
      <w:r w:rsidRPr="00EE1A1B">
        <w:t xml:space="preserve"> disease. These reports suggest that universal screening is feasible; however, important challenges and uncertainties remain (</w:t>
      </w:r>
      <w:proofErr w:type="spellStart"/>
      <w:r w:rsidRPr="00EE1A1B">
        <w:t>eg</w:t>
      </w:r>
      <w:proofErr w:type="spellEnd"/>
      <w:r w:rsidRPr="00EE1A1B">
        <w:t>, ensuring timely follow-up and linkage to care after a positive screen, and lack of standardized criteria for initiating antiviral treatment). (See </w:t>
      </w:r>
      <w:hyperlink r:id="rId16" w:anchor="H15657657" w:history="1">
        <w:r w:rsidRPr="00EE1A1B">
          <w:rPr>
            <w:rStyle w:val="Hyperlink"/>
          </w:rPr>
          <w:t>"Congenital cytomegalovirus (</w:t>
        </w:r>
        <w:proofErr w:type="spellStart"/>
        <w:r w:rsidRPr="00EE1A1B">
          <w:rPr>
            <w:rStyle w:val="Hyperlink"/>
          </w:rPr>
          <w:t>cCMV</w:t>
        </w:r>
        <w:proofErr w:type="spellEnd"/>
        <w:r w:rsidRPr="00EE1A1B">
          <w:rPr>
            <w:rStyle w:val="Hyperlink"/>
          </w:rPr>
          <w:t>) infection: Clinical features and diagnosis", section on 'Universal newborn screening'</w:t>
        </w:r>
      </w:hyperlink>
      <w:r w:rsidRPr="00EE1A1B">
        <w:t>.)</w:t>
      </w:r>
    </w:p>
    <w:p w14:paraId="55B803F6" w14:textId="77777777" w:rsidR="00EE1A1B" w:rsidRPr="00EE1A1B" w:rsidRDefault="00EE1A1B" w:rsidP="006D3DA9">
      <w:pPr>
        <w:jc w:val="both"/>
      </w:pPr>
      <w:r w:rsidRPr="00EE1A1B">
        <w:rPr>
          <w:b/>
          <w:bCs/>
        </w:rPr>
        <w:t>Pediatric deaths due to influenza-associated encephalopathy or encephalitis (March 2025)</w:t>
      </w:r>
    </w:p>
    <w:p w14:paraId="0F7CC4C5" w14:textId="77777777" w:rsidR="00EE1A1B" w:rsidRPr="00EE1A1B" w:rsidRDefault="00EE1A1B" w:rsidP="006D3DA9">
      <w:pPr>
        <w:jc w:val="both"/>
      </w:pPr>
      <w:r w:rsidRPr="00EE1A1B">
        <w:t>Influenza-associated encephalopathy or encephalitis (IAE) is a rare complication of influenza that can be fatal. Surveillance data from the Centers for Disease Control and Prevention indicate that IAE accounts for 9 percent of pediatric influenza-associated deaths [</w:t>
      </w:r>
      <w:hyperlink r:id="rId17" w:history="1">
        <w:r w:rsidRPr="00EE1A1B">
          <w:rPr>
            <w:rStyle w:val="Hyperlink"/>
          </w:rPr>
          <w:t>31</w:t>
        </w:r>
      </w:hyperlink>
      <w:r w:rsidRPr="00EE1A1B">
        <w:t>]. Of nearly 1800 influenza-associated pediatric deaths occurring between the 2010-2011 season and the 2023-2024 season, 157 were IAE. Additionally, 9 of the 68 (13 percent) influenza-associated pediatric deaths reported from October 1, 2024 through February 8, 2025 were IAE. It is not yet clear whether this represents a higher incidence of IAE this season; however, IAE should be considered in children with influenza and abnormal neurologic findings. (See </w:t>
      </w:r>
      <w:hyperlink r:id="rId18" w:anchor="H12" w:history="1">
        <w:r w:rsidRPr="00EE1A1B">
          <w:rPr>
            <w:rStyle w:val="Hyperlink"/>
          </w:rPr>
          <w:t>"Seasonal influenza in children: Clinical features and diagnosis", section on 'Central nervous system'</w:t>
        </w:r>
      </w:hyperlink>
      <w:r w:rsidRPr="00EE1A1B">
        <w:t>.)</w:t>
      </w:r>
    </w:p>
    <w:p w14:paraId="2A7FA905" w14:textId="77777777" w:rsidR="00EE1A1B" w:rsidRPr="00EE1A1B" w:rsidRDefault="00EE1A1B" w:rsidP="006D3DA9">
      <w:pPr>
        <w:jc w:val="both"/>
      </w:pPr>
      <w:r w:rsidRPr="00EE1A1B">
        <w:rPr>
          <w:b/>
          <w:bCs/>
        </w:rPr>
        <w:t>NEONATOLOGY</w:t>
      </w:r>
    </w:p>
    <w:p w14:paraId="7E83F3B6" w14:textId="77777777" w:rsidR="00EE1A1B" w:rsidRPr="00EE1A1B" w:rsidRDefault="00EE1A1B" w:rsidP="006D3DA9">
      <w:pPr>
        <w:jc w:val="both"/>
      </w:pPr>
      <w:r w:rsidRPr="00EE1A1B">
        <w:rPr>
          <w:b/>
          <w:bCs/>
        </w:rPr>
        <w:t>Universal screening for congenital cytomegalovirus infection (March 2025)</w:t>
      </w:r>
    </w:p>
    <w:p w14:paraId="27299796" w14:textId="77777777" w:rsidR="00EE1A1B" w:rsidRPr="00EE1A1B" w:rsidRDefault="00EE1A1B" w:rsidP="006D3DA9">
      <w:pPr>
        <w:jc w:val="both"/>
      </w:pPr>
      <w:r w:rsidRPr="00EE1A1B">
        <w:t>Newborn screening for congenital cytomegalovirus (</w:t>
      </w:r>
      <w:proofErr w:type="spellStart"/>
      <w:r w:rsidRPr="00EE1A1B">
        <w:t>cCMV</w:t>
      </w:r>
      <w:proofErr w:type="spellEnd"/>
      <w:r w:rsidRPr="00EE1A1B">
        <w:t xml:space="preserve">) has been proposed by public health experts, but the most reliable and cost-effective method is uncertain. Two recent studies reported on the experience of performing universal </w:t>
      </w:r>
      <w:proofErr w:type="spellStart"/>
      <w:r w:rsidRPr="00EE1A1B">
        <w:t>cCMV</w:t>
      </w:r>
      <w:proofErr w:type="spellEnd"/>
      <w:r w:rsidRPr="00EE1A1B">
        <w:t xml:space="preserve"> screening with dried blood spots [</w:t>
      </w:r>
      <w:hyperlink r:id="rId19" w:history="1">
        <w:r w:rsidRPr="00EE1A1B">
          <w:rPr>
            <w:rStyle w:val="Hyperlink"/>
          </w:rPr>
          <w:t>29,30</w:t>
        </w:r>
      </w:hyperlink>
      <w:r w:rsidRPr="00EE1A1B">
        <w:t xml:space="preserve">]. Combined, these studies screened &gt;600,000 newborns, and 863 (0.14 percent) screened positive. The false-positive rate was 4 percent. Among confirmed cases, &gt;80 percent were asymptomatic whereas 12 to 16 percent had either isolated hearing loss or findings consistent with symptomatic </w:t>
      </w:r>
      <w:proofErr w:type="spellStart"/>
      <w:r w:rsidRPr="00EE1A1B">
        <w:t>cCMV</w:t>
      </w:r>
      <w:proofErr w:type="spellEnd"/>
      <w:r w:rsidRPr="00EE1A1B">
        <w:t xml:space="preserve"> disease. These reports suggest that universal screening is feasible; however, important challenges and uncertainties remain (</w:t>
      </w:r>
      <w:proofErr w:type="spellStart"/>
      <w:r w:rsidRPr="00EE1A1B">
        <w:t>eg</w:t>
      </w:r>
      <w:proofErr w:type="spellEnd"/>
      <w:r w:rsidRPr="00EE1A1B">
        <w:t>, ensuring timely follow-up and linkage to care after a positive screen, and lack of standardized criteria for initiating antiviral treatment). (See </w:t>
      </w:r>
      <w:hyperlink r:id="rId20" w:anchor="H15657657" w:history="1">
        <w:r w:rsidRPr="00EE1A1B">
          <w:rPr>
            <w:rStyle w:val="Hyperlink"/>
          </w:rPr>
          <w:t>"Congenital cytomegalovirus (</w:t>
        </w:r>
        <w:proofErr w:type="spellStart"/>
        <w:r w:rsidRPr="00EE1A1B">
          <w:rPr>
            <w:rStyle w:val="Hyperlink"/>
          </w:rPr>
          <w:t>cCMV</w:t>
        </w:r>
        <w:proofErr w:type="spellEnd"/>
        <w:r w:rsidRPr="00EE1A1B">
          <w:rPr>
            <w:rStyle w:val="Hyperlink"/>
          </w:rPr>
          <w:t>) infection: Clinical features and diagnosis", section on 'Universal newborn screening'</w:t>
        </w:r>
      </w:hyperlink>
      <w:r w:rsidRPr="00EE1A1B">
        <w:t>.)</w:t>
      </w:r>
    </w:p>
    <w:p w14:paraId="65440806" w14:textId="77777777" w:rsidR="006D3DA9" w:rsidRPr="006D3DA9" w:rsidRDefault="006D3DA9" w:rsidP="006D3DA9">
      <w:pPr>
        <w:jc w:val="both"/>
      </w:pPr>
      <w:r w:rsidRPr="006D3DA9">
        <w:rPr>
          <w:b/>
          <w:bCs/>
        </w:rPr>
        <w:t>NEUROLOGY</w:t>
      </w:r>
    </w:p>
    <w:p w14:paraId="7DF4B7AD" w14:textId="77777777" w:rsidR="006D3DA9" w:rsidRPr="006D3DA9" w:rsidRDefault="006D3DA9" w:rsidP="006D3DA9">
      <w:pPr>
        <w:jc w:val="both"/>
      </w:pPr>
      <w:r w:rsidRPr="006D3DA9">
        <w:rPr>
          <w:b/>
          <w:bCs/>
        </w:rPr>
        <w:t>Pediatric deaths due to influenza-associated encephalopathy or encephalitis (March 2025)</w:t>
      </w:r>
    </w:p>
    <w:p w14:paraId="30375E76" w14:textId="77777777" w:rsidR="006D3DA9" w:rsidRPr="006D3DA9" w:rsidRDefault="006D3DA9" w:rsidP="006D3DA9">
      <w:pPr>
        <w:jc w:val="both"/>
      </w:pPr>
      <w:r w:rsidRPr="006D3DA9">
        <w:lastRenderedPageBreak/>
        <w:t>Influenza-associated encephalopathy or encephalitis (IAE) is a rare complication of influenza that can be fatal. Surveillance data from the Centers for Disease Control and Prevention indicate that IAE accounts for 9 percent of pediatric influenza-associated deaths [</w:t>
      </w:r>
      <w:hyperlink r:id="rId21" w:history="1">
        <w:r w:rsidRPr="006D3DA9">
          <w:rPr>
            <w:rStyle w:val="Hyperlink"/>
          </w:rPr>
          <w:t>31</w:t>
        </w:r>
      </w:hyperlink>
      <w:r w:rsidRPr="006D3DA9">
        <w:t>]. Of nearly 1800 influenza-associated pediatric deaths occurring between the 2010-2011 season and the 2023-2024 season, 157 were IAE. Additionally, 9 of the 68 (13 percent) influenza-associated pediatric deaths reported from October 1, 2024 through February 8, 2025 were IAE. It is not yet clear whether this represents a higher incidence of IAE this season; however, IAE should be considered in children with influenza and abnormal neurologic findings. (See </w:t>
      </w:r>
      <w:hyperlink r:id="rId22" w:anchor="H12" w:history="1">
        <w:r w:rsidRPr="006D3DA9">
          <w:rPr>
            <w:rStyle w:val="Hyperlink"/>
          </w:rPr>
          <w:t>"Seasonal influenza in children: Clinical features and diagnosis", section on 'Central nervous system'</w:t>
        </w:r>
      </w:hyperlink>
      <w:r w:rsidRPr="006D3DA9">
        <w:t>.)</w:t>
      </w:r>
    </w:p>
    <w:p w14:paraId="572F9D06" w14:textId="77777777" w:rsidR="006D3DA9" w:rsidRPr="006D3DA9" w:rsidRDefault="006D3DA9" w:rsidP="006D3DA9">
      <w:pPr>
        <w:jc w:val="both"/>
      </w:pPr>
      <w:r w:rsidRPr="006D3DA9">
        <w:rPr>
          <w:b/>
          <w:bCs/>
        </w:rPr>
        <w:t>Impact of genetic testing on cerebral palsy management (March 2025)</w:t>
      </w:r>
    </w:p>
    <w:p w14:paraId="58A7C5F2" w14:textId="77777777" w:rsidR="006D3DA9" w:rsidRPr="006D3DA9" w:rsidRDefault="006D3DA9" w:rsidP="006D3DA9">
      <w:pPr>
        <w:jc w:val="both"/>
      </w:pPr>
      <w:r w:rsidRPr="006D3DA9">
        <w:t>Genetic testing is increasingly performed for individuals diagnosed with cerebral palsy (CP) to identify a specific underlying cause of symptoms, but the clinical implications of testing are unclear. In a meta-analysis of studies that assessed genetic variants in children with CP and included 1841 individuals who underwent exome sequencing, likely pathologic variants were identified in 27 percent, and results led to a change in management in 8 percent [</w:t>
      </w:r>
      <w:hyperlink r:id="rId23" w:history="1">
        <w:r w:rsidRPr="006D3DA9">
          <w:rPr>
            <w:rStyle w:val="Hyperlink"/>
          </w:rPr>
          <w:t>37</w:t>
        </w:r>
      </w:hyperlink>
      <w:r w:rsidRPr="006D3DA9">
        <w:t>]. Specific interventions included the initiation of condition-specific medications, stem cell transplantation, dietary changes, and implementation of preventive measures and condition-specific monitoring. These results support the use of genetic testing both to identify underlying causes and to guide treatment of CP. (See </w:t>
      </w:r>
      <w:hyperlink r:id="rId24" w:anchor="H894399416" w:history="1">
        <w:r w:rsidRPr="006D3DA9">
          <w:rPr>
            <w:rStyle w:val="Hyperlink"/>
          </w:rPr>
          <w:t>"Cerebral palsy: Evaluation and diagnosis", section on 'Metabolic and genetic testing'</w:t>
        </w:r>
      </w:hyperlink>
      <w:r w:rsidRPr="006D3DA9">
        <w:t>.)</w:t>
      </w:r>
    </w:p>
    <w:p w14:paraId="7837CE78" w14:textId="77777777" w:rsidR="00EE1A1B" w:rsidRDefault="00EE1A1B" w:rsidP="006D3DA9">
      <w:pPr>
        <w:jc w:val="both"/>
      </w:pPr>
    </w:p>
    <w:sectPr w:rsidR="00EE1A1B" w:rsidSect="006D3DA9">
      <w:pgSz w:w="12240" w:h="15840"/>
      <w:pgMar w:top="1080" w:right="1080" w:bottom="14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F0212"/>
    <w:multiLevelType w:val="multilevel"/>
    <w:tmpl w:val="24427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2058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A1B"/>
    <w:rsid w:val="000B1565"/>
    <w:rsid w:val="00313F44"/>
    <w:rsid w:val="004B5628"/>
    <w:rsid w:val="00510CCB"/>
    <w:rsid w:val="006D3DA9"/>
    <w:rsid w:val="008D0060"/>
    <w:rsid w:val="00E577A7"/>
    <w:rsid w:val="00EE1A1B"/>
    <w:rsid w:val="00F904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20F6D"/>
  <w15:chartTrackingRefBased/>
  <w15:docId w15:val="{8C3A4964-CD51-4981-A80D-AE9CA0F79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1A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E1A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E1A1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E1A1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E1A1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E1A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1A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1A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1A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1A1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E1A1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E1A1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E1A1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E1A1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E1A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1A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1A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1A1B"/>
    <w:rPr>
      <w:rFonts w:eastAsiaTheme="majorEastAsia" w:cstheme="majorBidi"/>
      <w:color w:val="272727" w:themeColor="text1" w:themeTint="D8"/>
    </w:rPr>
  </w:style>
  <w:style w:type="paragraph" w:styleId="Title">
    <w:name w:val="Title"/>
    <w:basedOn w:val="Normal"/>
    <w:next w:val="Normal"/>
    <w:link w:val="TitleChar"/>
    <w:uiPriority w:val="10"/>
    <w:qFormat/>
    <w:rsid w:val="00EE1A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1A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1A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1A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1A1B"/>
    <w:pPr>
      <w:spacing w:before="160"/>
      <w:jc w:val="center"/>
    </w:pPr>
    <w:rPr>
      <w:i/>
      <w:iCs/>
      <w:color w:val="404040" w:themeColor="text1" w:themeTint="BF"/>
    </w:rPr>
  </w:style>
  <w:style w:type="character" w:customStyle="1" w:styleId="QuoteChar">
    <w:name w:val="Quote Char"/>
    <w:basedOn w:val="DefaultParagraphFont"/>
    <w:link w:val="Quote"/>
    <w:uiPriority w:val="29"/>
    <w:rsid w:val="00EE1A1B"/>
    <w:rPr>
      <w:i/>
      <w:iCs/>
      <w:color w:val="404040" w:themeColor="text1" w:themeTint="BF"/>
    </w:rPr>
  </w:style>
  <w:style w:type="paragraph" w:styleId="ListParagraph">
    <w:name w:val="List Paragraph"/>
    <w:basedOn w:val="Normal"/>
    <w:uiPriority w:val="34"/>
    <w:qFormat/>
    <w:rsid w:val="00EE1A1B"/>
    <w:pPr>
      <w:ind w:left="720"/>
      <w:contextualSpacing/>
    </w:pPr>
  </w:style>
  <w:style w:type="character" w:styleId="IntenseEmphasis">
    <w:name w:val="Intense Emphasis"/>
    <w:basedOn w:val="DefaultParagraphFont"/>
    <w:uiPriority w:val="21"/>
    <w:qFormat/>
    <w:rsid w:val="00EE1A1B"/>
    <w:rPr>
      <w:i/>
      <w:iCs/>
      <w:color w:val="2F5496" w:themeColor="accent1" w:themeShade="BF"/>
    </w:rPr>
  </w:style>
  <w:style w:type="paragraph" w:styleId="IntenseQuote">
    <w:name w:val="Intense Quote"/>
    <w:basedOn w:val="Normal"/>
    <w:next w:val="Normal"/>
    <w:link w:val="IntenseQuoteChar"/>
    <w:uiPriority w:val="30"/>
    <w:qFormat/>
    <w:rsid w:val="00EE1A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E1A1B"/>
    <w:rPr>
      <w:i/>
      <w:iCs/>
      <w:color w:val="2F5496" w:themeColor="accent1" w:themeShade="BF"/>
    </w:rPr>
  </w:style>
  <w:style w:type="character" w:styleId="IntenseReference">
    <w:name w:val="Intense Reference"/>
    <w:basedOn w:val="DefaultParagraphFont"/>
    <w:uiPriority w:val="32"/>
    <w:qFormat/>
    <w:rsid w:val="00EE1A1B"/>
    <w:rPr>
      <w:b/>
      <w:bCs/>
      <w:smallCaps/>
      <w:color w:val="2F5496" w:themeColor="accent1" w:themeShade="BF"/>
      <w:spacing w:val="5"/>
    </w:rPr>
  </w:style>
  <w:style w:type="character" w:styleId="Hyperlink">
    <w:name w:val="Hyperlink"/>
    <w:basedOn w:val="DefaultParagraphFont"/>
    <w:uiPriority w:val="99"/>
    <w:unhideWhenUsed/>
    <w:rsid w:val="00EE1A1B"/>
    <w:rPr>
      <w:color w:val="0563C1" w:themeColor="hyperlink"/>
      <w:u w:val="single"/>
    </w:rPr>
  </w:style>
  <w:style w:type="character" w:styleId="UnresolvedMention">
    <w:name w:val="Unresolved Mention"/>
    <w:basedOn w:val="DefaultParagraphFont"/>
    <w:uiPriority w:val="99"/>
    <w:semiHidden/>
    <w:unhideWhenUsed/>
    <w:rsid w:val="00EE1A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04694">
      <w:bodyDiv w:val="1"/>
      <w:marLeft w:val="0"/>
      <w:marRight w:val="0"/>
      <w:marTop w:val="0"/>
      <w:marBottom w:val="0"/>
      <w:divBdr>
        <w:top w:val="none" w:sz="0" w:space="0" w:color="auto"/>
        <w:left w:val="none" w:sz="0" w:space="0" w:color="auto"/>
        <w:bottom w:val="none" w:sz="0" w:space="0" w:color="auto"/>
        <w:right w:val="none" w:sz="0" w:space="0" w:color="auto"/>
      </w:divBdr>
      <w:divsChild>
        <w:div w:id="1040545901">
          <w:marLeft w:val="0"/>
          <w:marRight w:val="0"/>
          <w:marTop w:val="0"/>
          <w:marBottom w:val="0"/>
          <w:divBdr>
            <w:top w:val="none" w:sz="0" w:space="0" w:color="auto"/>
            <w:left w:val="none" w:sz="0" w:space="0" w:color="auto"/>
            <w:bottom w:val="single" w:sz="6" w:space="0" w:color="DADADA"/>
            <w:right w:val="none" w:sz="0" w:space="0" w:color="auto"/>
          </w:divBdr>
          <w:divsChild>
            <w:div w:id="78449856">
              <w:marLeft w:val="0"/>
              <w:marRight w:val="3225"/>
              <w:marTop w:val="0"/>
              <w:marBottom w:val="0"/>
              <w:divBdr>
                <w:top w:val="none" w:sz="0" w:space="0" w:color="auto"/>
                <w:left w:val="none" w:sz="0" w:space="0" w:color="auto"/>
                <w:bottom w:val="none" w:sz="0" w:space="0" w:color="auto"/>
                <w:right w:val="none" w:sz="0" w:space="0" w:color="auto"/>
              </w:divBdr>
            </w:div>
          </w:divsChild>
        </w:div>
        <w:div w:id="1212110417">
          <w:marLeft w:val="0"/>
          <w:marRight w:val="0"/>
          <w:marTop w:val="0"/>
          <w:marBottom w:val="0"/>
          <w:divBdr>
            <w:top w:val="none" w:sz="0" w:space="0" w:color="auto"/>
            <w:left w:val="none" w:sz="0" w:space="0" w:color="auto"/>
            <w:bottom w:val="none" w:sz="0" w:space="0" w:color="auto"/>
            <w:right w:val="none" w:sz="0" w:space="0" w:color="auto"/>
          </w:divBdr>
        </w:div>
      </w:divsChild>
    </w:div>
    <w:div w:id="245380914">
      <w:bodyDiv w:val="1"/>
      <w:marLeft w:val="0"/>
      <w:marRight w:val="0"/>
      <w:marTop w:val="0"/>
      <w:marBottom w:val="0"/>
      <w:divBdr>
        <w:top w:val="none" w:sz="0" w:space="0" w:color="auto"/>
        <w:left w:val="none" w:sz="0" w:space="0" w:color="auto"/>
        <w:bottom w:val="none" w:sz="0" w:space="0" w:color="auto"/>
        <w:right w:val="none" w:sz="0" w:space="0" w:color="auto"/>
      </w:divBdr>
    </w:div>
    <w:div w:id="256984429">
      <w:bodyDiv w:val="1"/>
      <w:marLeft w:val="0"/>
      <w:marRight w:val="0"/>
      <w:marTop w:val="0"/>
      <w:marBottom w:val="0"/>
      <w:divBdr>
        <w:top w:val="none" w:sz="0" w:space="0" w:color="auto"/>
        <w:left w:val="none" w:sz="0" w:space="0" w:color="auto"/>
        <w:bottom w:val="none" w:sz="0" w:space="0" w:color="auto"/>
        <w:right w:val="none" w:sz="0" w:space="0" w:color="auto"/>
      </w:divBdr>
      <w:divsChild>
        <w:div w:id="769934312">
          <w:marLeft w:val="0"/>
          <w:marRight w:val="0"/>
          <w:marTop w:val="0"/>
          <w:marBottom w:val="0"/>
          <w:divBdr>
            <w:top w:val="none" w:sz="0" w:space="0" w:color="auto"/>
            <w:left w:val="none" w:sz="0" w:space="0" w:color="auto"/>
            <w:bottom w:val="single" w:sz="6" w:space="0" w:color="DADADA"/>
            <w:right w:val="none" w:sz="0" w:space="0" w:color="auto"/>
          </w:divBdr>
          <w:divsChild>
            <w:div w:id="1680161187">
              <w:marLeft w:val="0"/>
              <w:marRight w:val="3225"/>
              <w:marTop w:val="0"/>
              <w:marBottom w:val="0"/>
              <w:divBdr>
                <w:top w:val="none" w:sz="0" w:space="0" w:color="auto"/>
                <w:left w:val="none" w:sz="0" w:space="0" w:color="auto"/>
                <w:bottom w:val="none" w:sz="0" w:space="0" w:color="auto"/>
                <w:right w:val="none" w:sz="0" w:space="0" w:color="auto"/>
              </w:divBdr>
            </w:div>
          </w:divsChild>
        </w:div>
        <w:div w:id="15351539">
          <w:marLeft w:val="0"/>
          <w:marRight w:val="0"/>
          <w:marTop w:val="0"/>
          <w:marBottom w:val="0"/>
          <w:divBdr>
            <w:top w:val="none" w:sz="0" w:space="0" w:color="auto"/>
            <w:left w:val="none" w:sz="0" w:space="0" w:color="auto"/>
            <w:bottom w:val="none" w:sz="0" w:space="0" w:color="auto"/>
            <w:right w:val="none" w:sz="0" w:space="0" w:color="auto"/>
          </w:divBdr>
        </w:div>
      </w:divsChild>
    </w:div>
    <w:div w:id="424038546">
      <w:bodyDiv w:val="1"/>
      <w:marLeft w:val="0"/>
      <w:marRight w:val="0"/>
      <w:marTop w:val="0"/>
      <w:marBottom w:val="0"/>
      <w:divBdr>
        <w:top w:val="none" w:sz="0" w:space="0" w:color="auto"/>
        <w:left w:val="none" w:sz="0" w:space="0" w:color="auto"/>
        <w:bottom w:val="none" w:sz="0" w:space="0" w:color="auto"/>
        <w:right w:val="none" w:sz="0" w:space="0" w:color="auto"/>
      </w:divBdr>
    </w:div>
    <w:div w:id="588848565">
      <w:bodyDiv w:val="1"/>
      <w:marLeft w:val="0"/>
      <w:marRight w:val="0"/>
      <w:marTop w:val="0"/>
      <w:marBottom w:val="0"/>
      <w:divBdr>
        <w:top w:val="none" w:sz="0" w:space="0" w:color="auto"/>
        <w:left w:val="none" w:sz="0" w:space="0" w:color="auto"/>
        <w:bottom w:val="none" w:sz="0" w:space="0" w:color="auto"/>
        <w:right w:val="none" w:sz="0" w:space="0" w:color="auto"/>
      </w:divBdr>
    </w:div>
    <w:div w:id="709452713">
      <w:bodyDiv w:val="1"/>
      <w:marLeft w:val="0"/>
      <w:marRight w:val="0"/>
      <w:marTop w:val="0"/>
      <w:marBottom w:val="0"/>
      <w:divBdr>
        <w:top w:val="none" w:sz="0" w:space="0" w:color="auto"/>
        <w:left w:val="none" w:sz="0" w:space="0" w:color="auto"/>
        <w:bottom w:val="none" w:sz="0" w:space="0" w:color="auto"/>
        <w:right w:val="none" w:sz="0" w:space="0" w:color="auto"/>
      </w:divBdr>
    </w:div>
    <w:div w:id="716899701">
      <w:bodyDiv w:val="1"/>
      <w:marLeft w:val="0"/>
      <w:marRight w:val="0"/>
      <w:marTop w:val="0"/>
      <w:marBottom w:val="0"/>
      <w:divBdr>
        <w:top w:val="none" w:sz="0" w:space="0" w:color="auto"/>
        <w:left w:val="none" w:sz="0" w:space="0" w:color="auto"/>
        <w:bottom w:val="none" w:sz="0" w:space="0" w:color="auto"/>
        <w:right w:val="none" w:sz="0" w:space="0" w:color="auto"/>
      </w:divBdr>
    </w:div>
    <w:div w:id="1035887161">
      <w:bodyDiv w:val="1"/>
      <w:marLeft w:val="0"/>
      <w:marRight w:val="0"/>
      <w:marTop w:val="0"/>
      <w:marBottom w:val="0"/>
      <w:divBdr>
        <w:top w:val="none" w:sz="0" w:space="0" w:color="auto"/>
        <w:left w:val="none" w:sz="0" w:space="0" w:color="auto"/>
        <w:bottom w:val="none" w:sz="0" w:space="0" w:color="auto"/>
        <w:right w:val="none" w:sz="0" w:space="0" w:color="auto"/>
      </w:divBdr>
    </w:div>
    <w:div w:id="1100948442">
      <w:bodyDiv w:val="1"/>
      <w:marLeft w:val="0"/>
      <w:marRight w:val="0"/>
      <w:marTop w:val="0"/>
      <w:marBottom w:val="0"/>
      <w:divBdr>
        <w:top w:val="none" w:sz="0" w:space="0" w:color="auto"/>
        <w:left w:val="none" w:sz="0" w:space="0" w:color="auto"/>
        <w:bottom w:val="none" w:sz="0" w:space="0" w:color="auto"/>
        <w:right w:val="none" w:sz="0" w:space="0" w:color="auto"/>
      </w:divBdr>
    </w:div>
    <w:div w:id="1229875952">
      <w:bodyDiv w:val="1"/>
      <w:marLeft w:val="0"/>
      <w:marRight w:val="0"/>
      <w:marTop w:val="0"/>
      <w:marBottom w:val="0"/>
      <w:divBdr>
        <w:top w:val="none" w:sz="0" w:space="0" w:color="auto"/>
        <w:left w:val="none" w:sz="0" w:space="0" w:color="auto"/>
        <w:bottom w:val="none" w:sz="0" w:space="0" w:color="auto"/>
        <w:right w:val="none" w:sz="0" w:space="0" w:color="auto"/>
      </w:divBdr>
    </w:div>
    <w:div w:id="1314021345">
      <w:bodyDiv w:val="1"/>
      <w:marLeft w:val="0"/>
      <w:marRight w:val="0"/>
      <w:marTop w:val="0"/>
      <w:marBottom w:val="0"/>
      <w:divBdr>
        <w:top w:val="none" w:sz="0" w:space="0" w:color="auto"/>
        <w:left w:val="none" w:sz="0" w:space="0" w:color="auto"/>
        <w:bottom w:val="none" w:sz="0" w:space="0" w:color="auto"/>
        <w:right w:val="none" w:sz="0" w:space="0" w:color="auto"/>
      </w:divBdr>
    </w:div>
    <w:div w:id="1859150417">
      <w:bodyDiv w:val="1"/>
      <w:marLeft w:val="0"/>
      <w:marRight w:val="0"/>
      <w:marTop w:val="0"/>
      <w:marBottom w:val="0"/>
      <w:divBdr>
        <w:top w:val="none" w:sz="0" w:space="0" w:color="auto"/>
        <w:left w:val="none" w:sz="0" w:space="0" w:color="auto"/>
        <w:bottom w:val="none" w:sz="0" w:space="0" w:color="auto"/>
        <w:right w:val="none" w:sz="0" w:space="0" w:color="auto"/>
      </w:divBdr>
    </w:div>
    <w:div w:id="1905332842">
      <w:bodyDiv w:val="1"/>
      <w:marLeft w:val="0"/>
      <w:marRight w:val="0"/>
      <w:marTop w:val="0"/>
      <w:marBottom w:val="0"/>
      <w:divBdr>
        <w:top w:val="none" w:sz="0" w:space="0" w:color="auto"/>
        <w:left w:val="none" w:sz="0" w:space="0" w:color="auto"/>
        <w:bottom w:val="none" w:sz="0" w:space="0" w:color="auto"/>
        <w:right w:val="none" w:sz="0" w:space="0" w:color="auto"/>
      </w:divBdr>
    </w:div>
    <w:div w:id="211651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utdos.ir/contents/image?imageKey=EM%2F82510&amp;topicKey=PEDS%2F2841&amp;source=see_link" TargetMode="External"/><Relationship Id="rId13" Type="http://schemas.openxmlformats.org/officeDocument/2006/relationships/hyperlink" Target="https://www4.utdos.ir/contents/whats-new-in-pediatrics/abstract/26" TargetMode="External"/><Relationship Id="rId18" Type="http://schemas.openxmlformats.org/officeDocument/2006/relationships/hyperlink" Target="https://www4.utdos.ir/contents/seasonal-influenza-in-children-clinical-features-and-diagnosis?sectionName=Central%20nervous%20system&amp;topicRef=2841&amp;anchor=H12&amp;source=see_link"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4.utdos.ir/contents/whats-new-in-pediatrics/abstract/31" TargetMode="External"/><Relationship Id="rId7" Type="http://schemas.openxmlformats.org/officeDocument/2006/relationships/hyperlink" Target="https://www4.utdos.ir/contents/whats-new-in-pediatrics/abstract/22" TargetMode="External"/><Relationship Id="rId12" Type="http://schemas.openxmlformats.org/officeDocument/2006/relationships/hyperlink" Target="https://www4.utdos.ir/contents/whats-new-in-pediatrics/abstract/25" TargetMode="External"/><Relationship Id="rId17" Type="http://schemas.openxmlformats.org/officeDocument/2006/relationships/hyperlink" Target="https://www4.utdos.ir/contents/whats-new-in-pediatrics/abstract/3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4.utdos.ir/contents/congenital-cytomegalovirus-ccmv-infection-clinical-features-and-diagnosis?sectionName=Universal%20newborn%20screening&amp;topicRef=2841&amp;anchor=H15657657&amp;source=see_link" TargetMode="External"/><Relationship Id="rId20" Type="http://schemas.openxmlformats.org/officeDocument/2006/relationships/hyperlink" Target="https://www4.utdos.ir/contents/congenital-cytomegalovirus-ccmv-infection-clinical-features-and-diagnosis?sectionName=Universal%20newborn%20screening&amp;topicRef=2841&amp;anchor=H15657657&amp;source=see_link" TargetMode="External"/><Relationship Id="rId1" Type="http://schemas.openxmlformats.org/officeDocument/2006/relationships/numbering" Target="numbering.xml"/><Relationship Id="rId6" Type="http://schemas.openxmlformats.org/officeDocument/2006/relationships/hyperlink" Target="https://www4.utdos.ir/contents/pharmacotherapy-for-insomnia-in-children-and-adolescents-a-rational-approach?sectionName=Melatonin&amp;topicRef=2841&amp;anchor=H727571870&amp;source=see_link" TargetMode="External"/><Relationship Id="rId11" Type="http://schemas.openxmlformats.org/officeDocument/2006/relationships/hyperlink" Target="https://www4.utdos.ir/contents/physical-child-abuse-recognition?sectionName=Fractures&amp;topicRef=2841&amp;anchor=H706482265&amp;source=see_link" TargetMode="External"/><Relationship Id="rId24" Type="http://schemas.openxmlformats.org/officeDocument/2006/relationships/hyperlink" Target="https://www4.utdos.ir/contents/cerebral-palsy-evaluation-and-diagnosis?sectionName=Metabolic%20and%20genetic%20testing&amp;topicRef=2841&amp;anchor=H894399416&amp;source=see_link" TargetMode="External"/><Relationship Id="rId5" Type="http://schemas.openxmlformats.org/officeDocument/2006/relationships/hyperlink" Target="https://www4.utdos.ir/contents/whats-new-in-pediatrics/abstract/3" TargetMode="External"/><Relationship Id="rId15" Type="http://schemas.openxmlformats.org/officeDocument/2006/relationships/hyperlink" Target="https://www4.utdos.ir/contents/whats-new-in-pediatrics/abstract/29,30" TargetMode="External"/><Relationship Id="rId23" Type="http://schemas.openxmlformats.org/officeDocument/2006/relationships/hyperlink" Target="https://www4.utdos.ir/contents/whats-new-in-pediatrics/abstract/37" TargetMode="External"/><Relationship Id="rId10" Type="http://schemas.openxmlformats.org/officeDocument/2006/relationships/hyperlink" Target="https://www4.utdos.ir/contents/orthopedic-aspects-of-child-abuse?sectionName=Overview&amp;topicRef=2841&amp;anchor=H14&amp;source=see_link" TargetMode="External"/><Relationship Id="rId19" Type="http://schemas.openxmlformats.org/officeDocument/2006/relationships/hyperlink" Target="https://www4.utdos.ir/contents/whats-new-in-pediatrics/abstract/29,30" TargetMode="External"/><Relationship Id="rId4" Type="http://schemas.openxmlformats.org/officeDocument/2006/relationships/webSettings" Target="webSettings.xml"/><Relationship Id="rId9" Type="http://schemas.openxmlformats.org/officeDocument/2006/relationships/hyperlink" Target="https://www4.utdos.ir/contents/image?imageKey=EM%2F109402&amp;topicKey=PEDS%2F2841&amp;source=see_link" TargetMode="External"/><Relationship Id="rId14" Type="http://schemas.openxmlformats.org/officeDocument/2006/relationships/hyperlink" Target="https://www4.utdos.ir/contents/obesity-in-adults-prevalence-screening-and-evaluation?sectionName=Global&amp;topicRef=2841&amp;anchor=H1622530&amp;source=see_link" TargetMode="External"/><Relationship Id="rId22" Type="http://schemas.openxmlformats.org/officeDocument/2006/relationships/hyperlink" Target="https://www4.utdos.ir/contents/seasonal-influenza-in-children-clinical-features-and-diagnosis?sectionName=Central%20nervous%20system&amp;topicRef=2841&amp;anchor=H12&amp;source=se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1573</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1</cp:revision>
  <dcterms:created xsi:type="dcterms:W3CDTF">2025-03-30T06:53:00Z</dcterms:created>
  <dcterms:modified xsi:type="dcterms:W3CDTF">2025-03-30T06:56:00Z</dcterms:modified>
</cp:coreProperties>
</file>